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7AA" w:rsidRDefault="001D67AA" w:rsidP="001D67AA">
      <w:pPr>
        <w:pStyle w:val="BodyText"/>
        <w:jc w:val="center"/>
        <w:rPr>
          <w:rFonts w:ascii="Times New Roman" w:hAnsi="Times New Roman"/>
          <w:b/>
          <w:sz w:val="24"/>
          <w:szCs w:val="24"/>
        </w:rPr>
      </w:pPr>
      <w:r>
        <w:rPr>
          <w:rFonts w:ascii="Times New Roman" w:hAnsi="Times New Roman"/>
          <w:b/>
          <w:sz w:val="24"/>
          <w:szCs w:val="24"/>
        </w:rPr>
        <w:t>National Commission on Correctional Health Care</w:t>
      </w:r>
    </w:p>
    <w:p w:rsidR="001D67AA" w:rsidRPr="00CC77B1" w:rsidRDefault="001D67AA" w:rsidP="001D67AA">
      <w:pPr>
        <w:pStyle w:val="BodyText"/>
        <w:jc w:val="center"/>
        <w:rPr>
          <w:rFonts w:ascii="Times New Roman" w:hAnsi="Times New Roman"/>
          <w:b/>
          <w:sz w:val="24"/>
          <w:szCs w:val="24"/>
        </w:rPr>
      </w:pPr>
    </w:p>
    <w:p w:rsidR="001D67AA" w:rsidRPr="00CC77B1" w:rsidRDefault="001D67AA" w:rsidP="001D67AA">
      <w:pPr>
        <w:pStyle w:val="BodyText"/>
        <w:jc w:val="center"/>
        <w:rPr>
          <w:rFonts w:ascii="Times New Roman" w:hAnsi="Times New Roman"/>
          <w:b/>
          <w:sz w:val="24"/>
          <w:szCs w:val="24"/>
        </w:rPr>
      </w:pPr>
      <w:r w:rsidRPr="00CC77B1">
        <w:rPr>
          <w:rFonts w:ascii="Times New Roman" w:hAnsi="Times New Roman"/>
          <w:b/>
          <w:sz w:val="24"/>
          <w:szCs w:val="24"/>
        </w:rPr>
        <w:t>Transgender Health Care in Correctional Settings</w:t>
      </w:r>
    </w:p>
    <w:p w:rsidR="001D67AA" w:rsidRPr="00CC77B1" w:rsidRDefault="001D67AA" w:rsidP="001D67AA">
      <w:pPr>
        <w:pStyle w:val="BodyText"/>
        <w:jc w:val="center"/>
        <w:rPr>
          <w:rFonts w:ascii="Times New Roman" w:hAnsi="Times New Roman"/>
          <w:b/>
          <w:sz w:val="24"/>
          <w:szCs w:val="24"/>
        </w:rPr>
      </w:pPr>
    </w:p>
    <w:p w:rsidR="001D67AA" w:rsidRPr="00CC77B1" w:rsidRDefault="001D67AA" w:rsidP="001D67AA">
      <w:pPr>
        <w:pStyle w:val="BodyText"/>
        <w:jc w:val="center"/>
        <w:rPr>
          <w:rFonts w:ascii="Times New Roman" w:hAnsi="Times New Roman"/>
          <w:b/>
          <w:sz w:val="24"/>
          <w:szCs w:val="24"/>
        </w:rPr>
      </w:pPr>
      <w:r w:rsidRPr="00CC77B1">
        <w:rPr>
          <w:rFonts w:ascii="Times New Roman" w:hAnsi="Times New Roman"/>
          <w:b/>
          <w:sz w:val="24"/>
          <w:szCs w:val="24"/>
        </w:rPr>
        <w:t>Background</w:t>
      </w:r>
    </w:p>
    <w:p w:rsidR="001D67AA" w:rsidRPr="00CC77B1" w:rsidRDefault="001D67AA" w:rsidP="001D67AA">
      <w:pPr>
        <w:pStyle w:val="BodyText"/>
        <w:rPr>
          <w:rFonts w:ascii="Times New Roman" w:hAnsi="Times New Roman"/>
          <w:sz w:val="24"/>
          <w:szCs w:val="24"/>
        </w:rPr>
      </w:pPr>
    </w:p>
    <w:p w:rsidR="001D67AA" w:rsidRPr="00CC77B1" w:rsidRDefault="001D67AA" w:rsidP="001D67AA">
      <w:pPr>
        <w:pStyle w:val="BodyText"/>
        <w:rPr>
          <w:rFonts w:ascii="Times New Roman" w:hAnsi="Times New Roman"/>
          <w:sz w:val="24"/>
          <w:szCs w:val="24"/>
        </w:rPr>
      </w:pPr>
      <w:r w:rsidRPr="00CC77B1">
        <w:rPr>
          <w:rFonts w:ascii="Times New Roman" w:hAnsi="Times New Roman"/>
          <w:sz w:val="24"/>
          <w:szCs w:val="24"/>
        </w:rPr>
        <w:t>Transgender people face an array of risks to their health and well-being during incarceration.  They are commonly placed in correctional facilities according to their genitals and/or sex assigned at birth, regardless</w:t>
      </w:r>
      <w:r>
        <w:rPr>
          <w:rFonts w:ascii="Times New Roman" w:hAnsi="Times New Roman"/>
          <w:sz w:val="24"/>
          <w:szCs w:val="24"/>
        </w:rPr>
        <w:t xml:space="preserve"> </w:t>
      </w:r>
      <w:r w:rsidRPr="00CC77B1">
        <w:rPr>
          <w:rFonts w:ascii="Times New Roman" w:hAnsi="Times New Roman"/>
          <w:sz w:val="24"/>
          <w:szCs w:val="24"/>
        </w:rPr>
        <w:t>of their safety needs or gender presentation. Incarcerated transgender people are oft</w:t>
      </w:r>
      <w:r>
        <w:rPr>
          <w:rFonts w:ascii="Times New Roman" w:hAnsi="Times New Roman"/>
          <w:sz w:val="24"/>
          <w:szCs w:val="24"/>
        </w:rPr>
        <w:t xml:space="preserve">en targets of physical assault </w:t>
      </w:r>
      <w:r w:rsidRPr="00CC77B1">
        <w:rPr>
          <w:rFonts w:ascii="Times New Roman" w:hAnsi="Times New Roman"/>
          <w:sz w:val="24"/>
          <w:szCs w:val="24"/>
        </w:rPr>
        <w:t xml:space="preserve">and emotional abuse.  The health risks of overlooking the particular needs of transgender </w:t>
      </w:r>
      <w:r>
        <w:rPr>
          <w:rFonts w:ascii="Times New Roman" w:hAnsi="Times New Roman"/>
          <w:sz w:val="24"/>
          <w:szCs w:val="24"/>
        </w:rPr>
        <w:t>inmate</w:t>
      </w:r>
      <w:r w:rsidRPr="00CC77B1">
        <w:rPr>
          <w:rFonts w:ascii="Times New Roman" w:hAnsi="Times New Roman"/>
          <w:sz w:val="24"/>
          <w:szCs w:val="24"/>
        </w:rPr>
        <w:t>s are so severe that acknowledge</w:t>
      </w:r>
      <w:r>
        <w:rPr>
          <w:rFonts w:ascii="Times New Roman" w:hAnsi="Times New Roman"/>
          <w:sz w:val="24"/>
          <w:szCs w:val="24"/>
        </w:rPr>
        <w:t xml:space="preserve">ment of the problem and policies that </w:t>
      </w:r>
      <w:r w:rsidRPr="00CC77B1">
        <w:rPr>
          <w:rFonts w:ascii="Times New Roman" w:hAnsi="Times New Roman"/>
          <w:sz w:val="24"/>
          <w:szCs w:val="24"/>
        </w:rPr>
        <w:t xml:space="preserve">assure </w:t>
      </w:r>
      <w:r>
        <w:rPr>
          <w:rFonts w:ascii="Times New Roman" w:hAnsi="Times New Roman"/>
          <w:sz w:val="24"/>
          <w:szCs w:val="24"/>
        </w:rPr>
        <w:t xml:space="preserve">appropriate </w:t>
      </w:r>
      <w:r w:rsidRPr="00CC77B1">
        <w:rPr>
          <w:rFonts w:ascii="Times New Roman" w:hAnsi="Times New Roman"/>
          <w:sz w:val="24"/>
          <w:szCs w:val="24"/>
        </w:rPr>
        <w:t xml:space="preserve">and responsible provision of </w:t>
      </w:r>
      <w:r>
        <w:rPr>
          <w:rFonts w:ascii="Times New Roman" w:hAnsi="Times New Roman"/>
          <w:sz w:val="24"/>
          <w:szCs w:val="24"/>
        </w:rPr>
        <w:t xml:space="preserve">health </w:t>
      </w:r>
      <w:r w:rsidRPr="00CC77B1">
        <w:rPr>
          <w:rFonts w:ascii="Times New Roman" w:hAnsi="Times New Roman"/>
          <w:sz w:val="24"/>
          <w:szCs w:val="24"/>
        </w:rPr>
        <w:t>care</w:t>
      </w:r>
      <w:r>
        <w:rPr>
          <w:rFonts w:ascii="Times New Roman" w:hAnsi="Times New Roman"/>
          <w:sz w:val="24"/>
          <w:szCs w:val="24"/>
        </w:rPr>
        <w:t xml:space="preserve"> are needed</w:t>
      </w:r>
      <w:r w:rsidRPr="00CC77B1">
        <w:rPr>
          <w:rFonts w:ascii="Times New Roman" w:hAnsi="Times New Roman"/>
          <w:sz w:val="24"/>
          <w:szCs w:val="24"/>
        </w:rPr>
        <w:t xml:space="preserve">.  </w:t>
      </w:r>
    </w:p>
    <w:p w:rsidR="001D67AA" w:rsidRPr="00CC77B1" w:rsidRDefault="001D67AA" w:rsidP="001D67AA">
      <w:pPr>
        <w:pStyle w:val="BodyText"/>
        <w:rPr>
          <w:rFonts w:ascii="Times New Roman" w:hAnsi="Times New Roman"/>
          <w:sz w:val="24"/>
          <w:szCs w:val="24"/>
        </w:rPr>
      </w:pPr>
    </w:p>
    <w:p w:rsidR="001D67AA" w:rsidRPr="00CC77B1" w:rsidRDefault="001D67AA" w:rsidP="001D67AA">
      <w:pPr>
        <w:pStyle w:val="BodyText"/>
        <w:rPr>
          <w:rFonts w:ascii="Times New Roman" w:hAnsi="Times New Roman"/>
          <w:sz w:val="24"/>
          <w:szCs w:val="24"/>
        </w:rPr>
      </w:pPr>
      <w:r w:rsidRPr="00CC77B1">
        <w:rPr>
          <w:rFonts w:ascii="Times New Roman" w:hAnsi="Times New Roman"/>
          <w:sz w:val="24"/>
          <w:szCs w:val="24"/>
        </w:rPr>
        <w:t>The term transgender refers to a diverse group of people who identify or express their gender in a way that does not match traditional ideas about the sex they were assigned at birth.  Transgender women are people who were assigned the sex of male at birth and who now identify as women.  Transgender men are people who were assigned the sex of female at birth and who now identify as men.  Transgender people may identify as men, women, neither, both, or as another gender.</w:t>
      </w:r>
      <w:r>
        <w:rPr>
          <w:rFonts w:ascii="Times New Roman" w:hAnsi="Times New Roman"/>
          <w:sz w:val="24"/>
          <w:szCs w:val="24"/>
        </w:rPr>
        <w:t xml:space="preserve"> </w:t>
      </w:r>
      <w:r w:rsidRPr="00CC77B1">
        <w:rPr>
          <w:rFonts w:ascii="Times New Roman" w:hAnsi="Times New Roman"/>
          <w:sz w:val="24"/>
          <w:szCs w:val="24"/>
        </w:rPr>
        <w:t>Transgender people can be any race, sexual orientation, age, religion, body type, socioeconomic background, or national origin.</w:t>
      </w:r>
    </w:p>
    <w:p w:rsidR="001D67AA" w:rsidRDefault="001D67AA" w:rsidP="001D67AA">
      <w:pPr>
        <w:pStyle w:val="BodyText"/>
        <w:rPr>
          <w:rFonts w:ascii="Times New Roman" w:hAnsi="Times New Roman"/>
          <w:sz w:val="24"/>
          <w:szCs w:val="24"/>
        </w:rPr>
      </w:pPr>
    </w:p>
    <w:p w:rsidR="001D67AA" w:rsidRPr="00CC20EE" w:rsidRDefault="001D67AA" w:rsidP="001D67AA">
      <w:pPr>
        <w:pStyle w:val="BodyText"/>
        <w:rPr>
          <w:rFonts w:ascii="Times New Roman" w:hAnsi="Times New Roman"/>
          <w:sz w:val="24"/>
          <w:szCs w:val="24"/>
        </w:rPr>
      </w:pPr>
      <w:r>
        <w:rPr>
          <w:rFonts w:ascii="Times New Roman" w:hAnsi="Times New Roman"/>
          <w:sz w:val="24"/>
          <w:szCs w:val="24"/>
        </w:rPr>
        <w:t xml:space="preserve">The National Commission on Correctional Health Care publishes </w:t>
      </w:r>
      <w:r w:rsidRPr="00CC20EE">
        <w:rPr>
          <w:rFonts w:ascii="Times New Roman" w:hAnsi="Times New Roman"/>
          <w:i/>
          <w:sz w:val="24"/>
          <w:szCs w:val="24"/>
        </w:rPr>
        <w:t>Standards</w:t>
      </w:r>
      <w:r>
        <w:rPr>
          <w:rFonts w:ascii="Times New Roman" w:hAnsi="Times New Roman"/>
          <w:sz w:val="24"/>
          <w:szCs w:val="24"/>
        </w:rPr>
        <w:t xml:space="preserve"> for prisons, jails, and juvenile justice facilities, which address Board approved recommendations for an adequate health care delivery system and address issues such as patient confidentiality, discharge planning, qualified health care professionals, medication availability and delivery, and staff training.  Position statements are intended to provide information on the management of specific problems not addressed in the </w:t>
      </w:r>
      <w:r w:rsidRPr="00CC20EE">
        <w:rPr>
          <w:rFonts w:ascii="Times New Roman" w:hAnsi="Times New Roman"/>
          <w:i/>
          <w:sz w:val="24"/>
          <w:szCs w:val="24"/>
        </w:rPr>
        <w:t>Standards</w:t>
      </w:r>
      <w:r>
        <w:rPr>
          <w:rFonts w:ascii="Times New Roman" w:hAnsi="Times New Roman"/>
          <w:sz w:val="24"/>
          <w:szCs w:val="24"/>
        </w:rPr>
        <w:t xml:space="preserve">.  </w:t>
      </w:r>
    </w:p>
    <w:p w:rsidR="001D67AA" w:rsidRDefault="001D67AA" w:rsidP="001D67AA">
      <w:pPr>
        <w:pStyle w:val="BodyText"/>
        <w:rPr>
          <w:rFonts w:ascii="Times New Roman" w:hAnsi="Times New Roman"/>
          <w:sz w:val="24"/>
          <w:szCs w:val="24"/>
        </w:rPr>
      </w:pPr>
    </w:p>
    <w:p w:rsidR="001D67AA" w:rsidRPr="00CC77B1" w:rsidRDefault="001D67AA" w:rsidP="001D67AA">
      <w:pPr>
        <w:pStyle w:val="BodyText"/>
        <w:jc w:val="center"/>
        <w:rPr>
          <w:rFonts w:ascii="Times New Roman" w:hAnsi="Times New Roman"/>
          <w:b/>
          <w:sz w:val="24"/>
          <w:szCs w:val="24"/>
        </w:rPr>
      </w:pPr>
      <w:r w:rsidRPr="00CC77B1">
        <w:rPr>
          <w:rFonts w:ascii="Times New Roman" w:hAnsi="Times New Roman"/>
          <w:b/>
          <w:sz w:val="24"/>
          <w:szCs w:val="24"/>
        </w:rPr>
        <w:t>Position Statement</w:t>
      </w:r>
    </w:p>
    <w:p w:rsidR="001D67AA" w:rsidRDefault="001D67AA" w:rsidP="001D67AA">
      <w:pPr>
        <w:pStyle w:val="BodyText"/>
        <w:rPr>
          <w:rFonts w:ascii="Times New Roman" w:hAnsi="Times New Roman"/>
          <w:sz w:val="24"/>
          <w:szCs w:val="24"/>
        </w:rPr>
      </w:pPr>
    </w:p>
    <w:p w:rsidR="001D67AA" w:rsidRDefault="001D67AA" w:rsidP="001D67AA">
      <w:pPr>
        <w:pStyle w:val="BodyText"/>
        <w:rPr>
          <w:rFonts w:ascii="Times New Roman" w:hAnsi="Times New Roman"/>
          <w:sz w:val="24"/>
          <w:szCs w:val="24"/>
        </w:rPr>
      </w:pPr>
      <w:r w:rsidRPr="00CC77B1">
        <w:rPr>
          <w:rFonts w:ascii="Times New Roman" w:hAnsi="Times New Roman"/>
          <w:sz w:val="24"/>
          <w:szCs w:val="24"/>
        </w:rPr>
        <w:t>Prisons, jails, and juvenile justice facilities have a responsibility to ensure the physical and mental health and well-being of transgender people in their custody.  </w:t>
      </w:r>
      <w:r>
        <w:rPr>
          <w:rFonts w:ascii="Times New Roman" w:hAnsi="Times New Roman"/>
          <w:sz w:val="24"/>
          <w:szCs w:val="24"/>
        </w:rPr>
        <w:t xml:space="preserve">Correctional health staff should </w:t>
      </w:r>
      <w:r w:rsidRPr="00CC77B1">
        <w:rPr>
          <w:rFonts w:ascii="Times New Roman" w:hAnsi="Times New Roman"/>
          <w:sz w:val="24"/>
          <w:szCs w:val="24"/>
        </w:rPr>
        <w:t xml:space="preserve"> manage transgender </w:t>
      </w:r>
      <w:r>
        <w:rPr>
          <w:rFonts w:ascii="Times New Roman" w:hAnsi="Times New Roman"/>
          <w:sz w:val="24"/>
          <w:szCs w:val="24"/>
        </w:rPr>
        <w:t>inmate</w:t>
      </w:r>
      <w:r w:rsidRPr="00CC77B1">
        <w:rPr>
          <w:rFonts w:ascii="Times New Roman" w:hAnsi="Times New Roman"/>
          <w:sz w:val="24"/>
          <w:szCs w:val="24"/>
        </w:rPr>
        <w:t>s in a manner that</w:t>
      </w:r>
      <w:r>
        <w:rPr>
          <w:rFonts w:ascii="Times New Roman" w:hAnsi="Times New Roman"/>
          <w:sz w:val="24"/>
          <w:szCs w:val="24"/>
        </w:rPr>
        <w:t xml:space="preserve"> respects the biomedical and psychological aspects of a </w:t>
      </w:r>
      <w:r w:rsidRPr="00CC77B1">
        <w:rPr>
          <w:rFonts w:ascii="Times New Roman" w:hAnsi="Times New Roman"/>
          <w:sz w:val="24"/>
          <w:szCs w:val="24"/>
        </w:rPr>
        <w:t xml:space="preserve">Gender Identity Disorder </w:t>
      </w:r>
      <w:r>
        <w:rPr>
          <w:rFonts w:ascii="Times New Roman" w:hAnsi="Times New Roman"/>
          <w:sz w:val="24"/>
          <w:szCs w:val="24"/>
        </w:rPr>
        <w:t xml:space="preserve">(GID) </w:t>
      </w:r>
      <w:r w:rsidRPr="00CC77B1">
        <w:rPr>
          <w:rFonts w:ascii="Times New Roman" w:hAnsi="Times New Roman"/>
          <w:sz w:val="24"/>
          <w:szCs w:val="24"/>
        </w:rPr>
        <w:t>diagnosis</w:t>
      </w:r>
      <w:r>
        <w:rPr>
          <w:rFonts w:ascii="Times New Roman" w:hAnsi="Times New Roman"/>
          <w:sz w:val="24"/>
          <w:szCs w:val="24"/>
        </w:rPr>
        <w:t xml:space="preserve">.  </w:t>
      </w:r>
      <w:r w:rsidRPr="00CC77B1">
        <w:rPr>
          <w:rFonts w:ascii="Times New Roman" w:hAnsi="Times New Roman"/>
          <w:sz w:val="24"/>
          <w:szCs w:val="24"/>
        </w:rPr>
        <w:t xml:space="preserve">The National Commission on Correctional Health Care recommends that the following principles guide correctional health care professionals in addressing the needs of transgender </w:t>
      </w:r>
      <w:r>
        <w:rPr>
          <w:rFonts w:ascii="Times New Roman" w:hAnsi="Times New Roman"/>
          <w:sz w:val="24"/>
          <w:szCs w:val="24"/>
        </w:rPr>
        <w:t>inmate</w:t>
      </w:r>
      <w:r w:rsidRPr="00CC77B1">
        <w:rPr>
          <w:rFonts w:ascii="Times New Roman" w:hAnsi="Times New Roman"/>
          <w:sz w:val="24"/>
          <w:szCs w:val="24"/>
        </w:rPr>
        <w:t xml:space="preserve">s: </w:t>
      </w:r>
    </w:p>
    <w:p w:rsidR="001D67AA" w:rsidRDefault="001D67AA" w:rsidP="001D67AA">
      <w:pPr>
        <w:pStyle w:val="BodyText"/>
        <w:rPr>
          <w:rFonts w:ascii="Times New Roman" w:hAnsi="Times New Roman"/>
          <w:sz w:val="24"/>
          <w:szCs w:val="24"/>
        </w:rPr>
      </w:pPr>
      <w:r>
        <w:rPr>
          <w:rFonts w:ascii="Times New Roman" w:hAnsi="Times New Roman"/>
          <w:sz w:val="24"/>
          <w:szCs w:val="24"/>
        </w:rPr>
        <w:br w:type="page"/>
      </w:r>
    </w:p>
    <w:p w:rsidR="001D67AA" w:rsidRDefault="001D67AA" w:rsidP="001D67AA">
      <w:pPr>
        <w:pStyle w:val="BodyText"/>
        <w:rPr>
          <w:rFonts w:ascii="Times New Roman" w:hAnsi="Times New Roman"/>
          <w:sz w:val="24"/>
          <w:szCs w:val="24"/>
        </w:rPr>
      </w:pPr>
    </w:p>
    <w:p w:rsidR="001D67AA" w:rsidRPr="004A73B2" w:rsidRDefault="001D67AA" w:rsidP="001D67AA">
      <w:pPr>
        <w:pStyle w:val="BodyText"/>
        <w:rPr>
          <w:rFonts w:ascii="Times New Roman" w:hAnsi="Times New Roman"/>
          <w:sz w:val="24"/>
          <w:szCs w:val="24"/>
          <w:u w:val="single"/>
        </w:rPr>
      </w:pPr>
      <w:r w:rsidRPr="004A73B2">
        <w:rPr>
          <w:rFonts w:ascii="Times New Roman" w:hAnsi="Times New Roman"/>
          <w:sz w:val="24"/>
          <w:szCs w:val="24"/>
          <w:u w:val="single"/>
        </w:rPr>
        <w:t>Management</w:t>
      </w:r>
    </w:p>
    <w:p w:rsidR="001D67AA" w:rsidRDefault="001D67AA" w:rsidP="001D67AA">
      <w:pPr>
        <w:pStyle w:val="BodyText"/>
        <w:ind w:left="1065"/>
        <w:rPr>
          <w:rFonts w:ascii="Times New Roman" w:hAnsi="Times New Roman"/>
          <w:sz w:val="24"/>
          <w:szCs w:val="24"/>
        </w:rPr>
      </w:pPr>
    </w:p>
    <w:p w:rsidR="001D67AA" w:rsidRDefault="001D67AA" w:rsidP="001D67AA">
      <w:pPr>
        <w:pStyle w:val="BodyText"/>
        <w:numPr>
          <w:ilvl w:val="0"/>
          <w:numId w:val="4"/>
        </w:numPr>
        <w:rPr>
          <w:rFonts w:ascii="Times New Roman" w:hAnsi="Times New Roman"/>
          <w:sz w:val="24"/>
          <w:szCs w:val="24"/>
        </w:rPr>
      </w:pPr>
      <w:r w:rsidRPr="000D5C68">
        <w:rPr>
          <w:rFonts w:ascii="Times New Roman" w:hAnsi="Times New Roman"/>
          <w:sz w:val="24"/>
          <w:szCs w:val="24"/>
        </w:rPr>
        <w:t>The management of medical (e.g., medically necessary hormone treatment) and surgical (e.g., genital reconstruction) transgender issues should follow accepted standards</w:t>
      </w:r>
      <w:r>
        <w:rPr>
          <w:rStyle w:val="FootnoteReference"/>
          <w:rFonts w:ascii="Times New Roman" w:hAnsi="Times New Roman"/>
          <w:sz w:val="24"/>
          <w:szCs w:val="24"/>
        </w:rPr>
        <w:footnoteReference w:id="2"/>
      </w:r>
      <w:r w:rsidRPr="000D5C68">
        <w:rPr>
          <w:rFonts w:ascii="Times New Roman" w:hAnsi="Times New Roman"/>
          <w:sz w:val="24"/>
          <w:szCs w:val="24"/>
        </w:rPr>
        <w:t xml:space="preserve"> that have been developed by professionals with expertise in transgender health.  Determination of treatment necessary for transgender patients should be </w:t>
      </w:r>
      <w:r>
        <w:rPr>
          <w:rFonts w:ascii="Times New Roman" w:hAnsi="Times New Roman"/>
          <w:sz w:val="24"/>
          <w:szCs w:val="24"/>
        </w:rPr>
        <w:t xml:space="preserve">on a case-by-case basis.  Ideally, correctional facility health professionals should be trained in transgender health care issues.  Alternatively, correctional health staff should have access to other professionals with expertise in transgender health care to help determine appropriate management and provide training in transgender issues.  </w:t>
      </w:r>
    </w:p>
    <w:p w:rsidR="001D67AA" w:rsidRDefault="001D67AA" w:rsidP="001D67AA">
      <w:pPr>
        <w:pStyle w:val="BodyText"/>
        <w:ind w:left="1065"/>
        <w:rPr>
          <w:rFonts w:ascii="Times New Roman" w:hAnsi="Times New Roman"/>
          <w:sz w:val="24"/>
          <w:szCs w:val="24"/>
        </w:rPr>
      </w:pPr>
    </w:p>
    <w:p w:rsidR="001D67AA" w:rsidRDefault="001D67AA" w:rsidP="001D67AA">
      <w:pPr>
        <w:pStyle w:val="BodyText"/>
        <w:numPr>
          <w:ilvl w:val="0"/>
          <w:numId w:val="4"/>
        </w:numPr>
        <w:rPr>
          <w:rFonts w:ascii="Times New Roman" w:hAnsi="Times New Roman"/>
          <w:sz w:val="24"/>
          <w:szCs w:val="24"/>
        </w:rPr>
      </w:pPr>
      <w:r>
        <w:rPr>
          <w:rFonts w:ascii="Times New Roman" w:hAnsi="Times New Roman"/>
          <w:sz w:val="24"/>
          <w:szCs w:val="24"/>
        </w:rPr>
        <w:t xml:space="preserve">Because inmate-patients may be under different stages of care prior to incarceration, there should not be </w:t>
      </w:r>
      <w:r w:rsidRPr="00CC77B1">
        <w:rPr>
          <w:rFonts w:ascii="Times New Roman" w:hAnsi="Times New Roman"/>
          <w:sz w:val="24"/>
          <w:szCs w:val="24"/>
        </w:rPr>
        <w:t xml:space="preserve">blanket administrative or policies that </w:t>
      </w:r>
      <w:r>
        <w:rPr>
          <w:rFonts w:ascii="Times New Roman" w:hAnsi="Times New Roman"/>
          <w:sz w:val="24"/>
          <w:szCs w:val="24"/>
        </w:rPr>
        <w:t xml:space="preserve">restrict </w:t>
      </w:r>
      <w:r w:rsidRPr="00CC77B1">
        <w:rPr>
          <w:rFonts w:ascii="Times New Roman" w:hAnsi="Times New Roman"/>
          <w:sz w:val="24"/>
          <w:szCs w:val="24"/>
        </w:rPr>
        <w:t>specific medical treatments for transgender people</w:t>
      </w:r>
      <w:r>
        <w:rPr>
          <w:rFonts w:ascii="Times New Roman" w:hAnsi="Times New Roman"/>
          <w:sz w:val="24"/>
          <w:szCs w:val="24"/>
        </w:rPr>
        <w:t xml:space="preserve">.  Policies that </w:t>
      </w:r>
      <w:r w:rsidRPr="00CC77B1">
        <w:rPr>
          <w:rFonts w:ascii="Times New Roman" w:hAnsi="Times New Roman"/>
          <w:sz w:val="24"/>
          <w:szCs w:val="24"/>
        </w:rPr>
        <w:t>make treatments available only to those who received them prior to incarceration, or limit GID treatment to psychotherapy</w:t>
      </w:r>
      <w:r>
        <w:rPr>
          <w:rFonts w:ascii="Times New Roman" w:hAnsi="Times New Roman"/>
          <w:sz w:val="24"/>
          <w:szCs w:val="24"/>
        </w:rPr>
        <w:t xml:space="preserve"> should be avoided</w:t>
      </w:r>
      <w:r w:rsidRPr="00CC77B1">
        <w:rPr>
          <w:rFonts w:ascii="Times New Roman" w:hAnsi="Times New Roman"/>
          <w:sz w:val="24"/>
          <w:szCs w:val="24"/>
        </w:rPr>
        <w:t xml:space="preserve">. Policies that attempt to “freeze” gender transition at the stage reached prior to incarceration are inappropriate and out of step with medical standards, and should </w:t>
      </w:r>
      <w:r>
        <w:rPr>
          <w:rFonts w:ascii="Times New Roman" w:hAnsi="Times New Roman"/>
          <w:sz w:val="24"/>
          <w:szCs w:val="24"/>
        </w:rPr>
        <w:t>be avoided.</w:t>
      </w:r>
      <w:r w:rsidRPr="00CC77B1">
        <w:rPr>
          <w:rFonts w:ascii="Times New Roman" w:hAnsi="Times New Roman"/>
          <w:sz w:val="24"/>
          <w:szCs w:val="24"/>
        </w:rPr>
        <w:t xml:space="preserve">   </w:t>
      </w:r>
    </w:p>
    <w:p w:rsidR="001D67AA" w:rsidRDefault="001D67AA" w:rsidP="001D67AA">
      <w:pPr>
        <w:pStyle w:val="BodyText"/>
        <w:rPr>
          <w:rFonts w:ascii="Times New Roman" w:hAnsi="Times New Roman"/>
          <w:sz w:val="24"/>
          <w:szCs w:val="24"/>
        </w:rPr>
      </w:pPr>
    </w:p>
    <w:p w:rsidR="001D67AA" w:rsidRDefault="001D67AA" w:rsidP="001D67AA">
      <w:pPr>
        <w:pStyle w:val="BodyText"/>
        <w:numPr>
          <w:ilvl w:val="0"/>
          <w:numId w:val="4"/>
        </w:numPr>
        <w:rPr>
          <w:rFonts w:ascii="Times New Roman" w:hAnsi="Times New Roman"/>
          <w:sz w:val="24"/>
          <w:szCs w:val="24"/>
        </w:rPr>
      </w:pPr>
      <w:r>
        <w:rPr>
          <w:rFonts w:ascii="Times New Roman" w:hAnsi="Times New Roman"/>
          <w:sz w:val="24"/>
          <w:szCs w:val="24"/>
        </w:rPr>
        <w:t xml:space="preserve">Diagnosed transgender patients </w:t>
      </w:r>
      <w:r w:rsidRPr="00CC77B1">
        <w:rPr>
          <w:rFonts w:ascii="Times New Roman" w:hAnsi="Times New Roman"/>
          <w:sz w:val="24"/>
          <w:szCs w:val="24"/>
        </w:rPr>
        <w:t xml:space="preserve">who received hormone therapy prior to incarceration should have that therapy continued without interruption pending evaluation by a specialist, absent urgent medical reasons to the contrary.  Transgender </w:t>
      </w:r>
      <w:r>
        <w:rPr>
          <w:rFonts w:ascii="Times New Roman" w:hAnsi="Times New Roman"/>
          <w:sz w:val="24"/>
          <w:szCs w:val="24"/>
        </w:rPr>
        <w:t>inmate</w:t>
      </w:r>
      <w:r w:rsidRPr="00CC77B1">
        <w:rPr>
          <w:rFonts w:ascii="Times New Roman" w:hAnsi="Times New Roman"/>
          <w:sz w:val="24"/>
          <w:szCs w:val="24"/>
        </w:rPr>
        <w:t xml:space="preserve">s who have not received hormone therapy prior to incarceration should be evaluated by a health care provider qualified in the area of transgender health to determine their treatment needs. When determined to be medically necessary for a particular </w:t>
      </w:r>
      <w:r>
        <w:rPr>
          <w:rFonts w:ascii="Times New Roman" w:hAnsi="Times New Roman"/>
          <w:sz w:val="24"/>
          <w:szCs w:val="24"/>
        </w:rPr>
        <w:t>inmate</w:t>
      </w:r>
      <w:r w:rsidRPr="00CC77B1">
        <w:rPr>
          <w:rFonts w:ascii="Times New Roman" w:hAnsi="Times New Roman"/>
          <w:sz w:val="24"/>
          <w:szCs w:val="24"/>
        </w:rPr>
        <w:t>, hormone therapy should be initiated and sex reassignment surgery considered</w:t>
      </w:r>
      <w:r>
        <w:rPr>
          <w:rFonts w:ascii="Times New Roman" w:hAnsi="Times New Roman"/>
          <w:sz w:val="24"/>
          <w:szCs w:val="24"/>
        </w:rPr>
        <w:t xml:space="preserve"> on a case-by-case basis. </w:t>
      </w:r>
      <w:r w:rsidRPr="00CC77B1">
        <w:rPr>
          <w:rFonts w:ascii="Times New Roman" w:hAnsi="Times New Roman"/>
          <w:sz w:val="24"/>
          <w:szCs w:val="24"/>
        </w:rPr>
        <w:t>Regular laboratory monitoring should be conducted according t</w:t>
      </w:r>
      <w:r>
        <w:rPr>
          <w:rFonts w:ascii="Times New Roman" w:hAnsi="Times New Roman"/>
          <w:sz w:val="24"/>
          <w:szCs w:val="24"/>
        </w:rPr>
        <w:t xml:space="preserve">o community medical standards. </w:t>
      </w:r>
    </w:p>
    <w:p w:rsidR="001D67AA" w:rsidRDefault="001D67AA" w:rsidP="001D67AA">
      <w:pPr>
        <w:pStyle w:val="BodyText"/>
        <w:rPr>
          <w:rFonts w:ascii="Times New Roman" w:hAnsi="Times New Roman"/>
          <w:sz w:val="24"/>
          <w:szCs w:val="24"/>
        </w:rPr>
      </w:pPr>
    </w:p>
    <w:p w:rsidR="001D67AA" w:rsidRDefault="001D67AA" w:rsidP="001D67AA">
      <w:pPr>
        <w:pStyle w:val="BodyText"/>
        <w:numPr>
          <w:ilvl w:val="0"/>
          <w:numId w:val="4"/>
        </w:numPr>
        <w:rPr>
          <w:rFonts w:ascii="Times New Roman" w:hAnsi="Times New Roman"/>
          <w:sz w:val="24"/>
          <w:szCs w:val="24"/>
        </w:rPr>
      </w:pPr>
      <w:r w:rsidRPr="00CC77B1">
        <w:rPr>
          <w:rFonts w:ascii="Times New Roman" w:hAnsi="Times New Roman"/>
          <w:sz w:val="24"/>
          <w:szCs w:val="24"/>
        </w:rPr>
        <w:t>Treatment for genital self-harm, and for complications arising from prior surgery or from forms of self-treatment</w:t>
      </w:r>
      <w:r>
        <w:rPr>
          <w:rFonts w:ascii="Times New Roman" w:hAnsi="Times New Roman"/>
          <w:sz w:val="24"/>
          <w:szCs w:val="24"/>
        </w:rPr>
        <w:t>,</w:t>
      </w:r>
      <w:r w:rsidRPr="00CC77B1">
        <w:rPr>
          <w:rFonts w:ascii="Times New Roman" w:hAnsi="Times New Roman"/>
          <w:sz w:val="24"/>
          <w:szCs w:val="24"/>
        </w:rPr>
        <w:t xml:space="preserve"> should be provi</w:t>
      </w:r>
      <w:r>
        <w:rPr>
          <w:rFonts w:ascii="Times New Roman" w:hAnsi="Times New Roman"/>
          <w:sz w:val="24"/>
          <w:szCs w:val="24"/>
        </w:rPr>
        <w:t xml:space="preserve">ded when medically necessary.   </w:t>
      </w:r>
    </w:p>
    <w:p w:rsidR="001D67AA" w:rsidRDefault="001D67AA" w:rsidP="001D67AA">
      <w:pPr>
        <w:pStyle w:val="BodyText"/>
        <w:rPr>
          <w:rFonts w:ascii="Times New Roman" w:hAnsi="Times New Roman"/>
          <w:sz w:val="24"/>
          <w:szCs w:val="24"/>
        </w:rPr>
      </w:pPr>
    </w:p>
    <w:p w:rsidR="001D67AA" w:rsidRDefault="001D67AA" w:rsidP="001D67AA">
      <w:pPr>
        <w:pStyle w:val="BodyText"/>
        <w:numPr>
          <w:ilvl w:val="0"/>
          <w:numId w:val="4"/>
        </w:numPr>
        <w:rPr>
          <w:rFonts w:ascii="Times New Roman" w:hAnsi="Times New Roman"/>
          <w:sz w:val="24"/>
          <w:szCs w:val="24"/>
        </w:rPr>
      </w:pPr>
      <w:r>
        <w:rPr>
          <w:rFonts w:ascii="Times New Roman" w:hAnsi="Times New Roman"/>
          <w:sz w:val="24"/>
          <w:szCs w:val="24"/>
        </w:rPr>
        <w:t>C</w:t>
      </w:r>
      <w:r w:rsidRPr="00CC77B1">
        <w:rPr>
          <w:rFonts w:ascii="Times New Roman" w:hAnsi="Times New Roman"/>
          <w:sz w:val="24"/>
          <w:szCs w:val="24"/>
        </w:rPr>
        <w:t xml:space="preserve">orrectional </w:t>
      </w:r>
      <w:r>
        <w:rPr>
          <w:rFonts w:ascii="Times New Roman" w:hAnsi="Times New Roman"/>
          <w:sz w:val="24"/>
          <w:szCs w:val="24"/>
        </w:rPr>
        <w:t>h</w:t>
      </w:r>
      <w:r w:rsidRPr="00CC77B1">
        <w:rPr>
          <w:rFonts w:ascii="Times New Roman" w:hAnsi="Times New Roman"/>
          <w:sz w:val="24"/>
          <w:szCs w:val="24"/>
        </w:rPr>
        <w:t xml:space="preserve">ealth care providers </w:t>
      </w:r>
      <w:r>
        <w:rPr>
          <w:rFonts w:ascii="Times New Roman" w:hAnsi="Times New Roman"/>
          <w:sz w:val="24"/>
          <w:szCs w:val="24"/>
        </w:rPr>
        <w:t xml:space="preserve">should provide patient education materials to </w:t>
      </w:r>
      <w:r w:rsidRPr="00CC77B1">
        <w:rPr>
          <w:rFonts w:ascii="Times New Roman" w:hAnsi="Times New Roman"/>
          <w:sz w:val="24"/>
          <w:szCs w:val="24"/>
        </w:rPr>
        <w:t xml:space="preserve">help transgender patients </w:t>
      </w:r>
      <w:r>
        <w:rPr>
          <w:rFonts w:ascii="Times New Roman" w:hAnsi="Times New Roman"/>
          <w:sz w:val="24"/>
          <w:szCs w:val="24"/>
        </w:rPr>
        <w:t>cope with their diagnosis and treatment.</w:t>
      </w:r>
      <w:r w:rsidRPr="00CC77B1">
        <w:rPr>
          <w:rFonts w:ascii="Times New Roman" w:hAnsi="Times New Roman"/>
          <w:sz w:val="24"/>
          <w:szCs w:val="24"/>
        </w:rPr>
        <w:t xml:space="preserve">   </w:t>
      </w:r>
    </w:p>
    <w:p w:rsidR="001D67AA" w:rsidRPr="00CC77B1" w:rsidRDefault="001D67AA" w:rsidP="001D67AA">
      <w:pPr>
        <w:pStyle w:val="BodyText"/>
        <w:ind w:left="360"/>
        <w:rPr>
          <w:rFonts w:ascii="Times New Roman" w:hAnsi="Times New Roman"/>
          <w:sz w:val="24"/>
          <w:szCs w:val="24"/>
        </w:rPr>
      </w:pPr>
    </w:p>
    <w:p w:rsidR="001D67AA" w:rsidRDefault="001D67AA" w:rsidP="001D67AA">
      <w:pPr>
        <w:pStyle w:val="BodyText"/>
        <w:numPr>
          <w:ilvl w:val="0"/>
          <w:numId w:val="4"/>
        </w:numPr>
        <w:rPr>
          <w:rFonts w:ascii="Times New Roman" w:hAnsi="Times New Roman"/>
          <w:sz w:val="24"/>
          <w:szCs w:val="24"/>
        </w:rPr>
      </w:pPr>
      <w:r w:rsidRPr="00CC77B1">
        <w:rPr>
          <w:rFonts w:ascii="Times New Roman" w:hAnsi="Times New Roman"/>
          <w:sz w:val="24"/>
          <w:szCs w:val="24"/>
        </w:rPr>
        <w:t xml:space="preserve">Psychotherapy such as </w:t>
      </w:r>
      <w:r>
        <w:rPr>
          <w:rFonts w:ascii="Times New Roman" w:hAnsi="Times New Roman"/>
          <w:sz w:val="24"/>
          <w:szCs w:val="24"/>
        </w:rPr>
        <w:t>“r</w:t>
      </w:r>
      <w:r w:rsidRPr="00CC77B1">
        <w:rPr>
          <w:rFonts w:ascii="Times New Roman" w:hAnsi="Times New Roman"/>
          <w:sz w:val="24"/>
          <w:szCs w:val="24"/>
        </w:rPr>
        <w:t>eparative</w:t>
      </w:r>
      <w:r>
        <w:rPr>
          <w:rFonts w:ascii="Times New Roman" w:hAnsi="Times New Roman"/>
          <w:sz w:val="24"/>
          <w:szCs w:val="24"/>
        </w:rPr>
        <w:t>”</w:t>
      </w:r>
      <w:r w:rsidRPr="00CC77B1">
        <w:rPr>
          <w:rFonts w:ascii="Times New Roman" w:hAnsi="Times New Roman"/>
          <w:sz w:val="24"/>
          <w:szCs w:val="24"/>
        </w:rPr>
        <w:t xml:space="preserve"> therapy or attempts to alter gender identity should not be employed.  </w:t>
      </w:r>
      <w:r w:rsidRPr="0084485D">
        <w:rPr>
          <w:rFonts w:ascii="Times New Roman" w:hAnsi="Times New Roman"/>
          <w:sz w:val="24"/>
          <w:szCs w:val="24"/>
        </w:rPr>
        <w:t>Reparative therapy inappropriately portrays G</w:t>
      </w:r>
      <w:r>
        <w:rPr>
          <w:rFonts w:ascii="Times New Roman" w:hAnsi="Times New Roman"/>
          <w:sz w:val="24"/>
          <w:szCs w:val="24"/>
        </w:rPr>
        <w:t xml:space="preserve">ID </w:t>
      </w:r>
      <w:r w:rsidRPr="0084485D">
        <w:rPr>
          <w:rFonts w:ascii="Times New Roman" w:hAnsi="Times New Roman"/>
          <w:sz w:val="24"/>
          <w:szCs w:val="24"/>
        </w:rPr>
        <w:t>as a mental illness and not a medical condition.</w:t>
      </w:r>
      <w:r w:rsidRPr="00CC77B1">
        <w:rPr>
          <w:rFonts w:ascii="Times New Roman" w:hAnsi="Times New Roman"/>
          <w:sz w:val="24"/>
          <w:szCs w:val="24"/>
        </w:rPr>
        <w:t xml:space="preserve"> </w:t>
      </w:r>
    </w:p>
    <w:p w:rsidR="001D67AA" w:rsidRDefault="001D67AA" w:rsidP="001D67AA">
      <w:pPr>
        <w:pStyle w:val="BodyText"/>
        <w:rPr>
          <w:rFonts w:ascii="Times New Roman" w:hAnsi="Times New Roman"/>
          <w:sz w:val="24"/>
          <w:szCs w:val="24"/>
        </w:rPr>
      </w:pPr>
    </w:p>
    <w:p w:rsidR="001D67AA" w:rsidRPr="004A73B2" w:rsidRDefault="001D67AA" w:rsidP="001D67AA">
      <w:pPr>
        <w:pStyle w:val="BodyText"/>
        <w:rPr>
          <w:rFonts w:ascii="Times New Roman" w:hAnsi="Times New Roman"/>
          <w:sz w:val="24"/>
          <w:szCs w:val="24"/>
          <w:u w:val="single"/>
        </w:rPr>
      </w:pPr>
      <w:r w:rsidRPr="004A73B2">
        <w:rPr>
          <w:rFonts w:ascii="Times New Roman" w:hAnsi="Times New Roman"/>
          <w:sz w:val="24"/>
          <w:szCs w:val="24"/>
          <w:u w:val="single"/>
        </w:rPr>
        <w:t>Patient Safety</w:t>
      </w:r>
    </w:p>
    <w:p w:rsidR="001D67AA" w:rsidRDefault="001D67AA" w:rsidP="001D67AA">
      <w:pPr>
        <w:pStyle w:val="BodyText"/>
        <w:ind w:left="1065"/>
        <w:rPr>
          <w:rFonts w:ascii="Times New Roman" w:hAnsi="Times New Roman"/>
          <w:sz w:val="24"/>
          <w:szCs w:val="24"/>
        </w:rPr>
      </w:pPr>
    </w:p>
    <w:p w:rsidR="001D67AA" w:rsidRDefault="001D67AA" w:rsidP="001D67AA">
      <w:pPr>
        <w:pStyle w:val="BodyText"/>
        <w:numPr>
          <w:ilvl w:val="0"/>
          <w:numId w:val="4"/>
        </w:numPr>
        <w:rPr>
          <w:rFonts w:ascii="Times New Roman" w:hAnsi="Times New Roman"/>
          <w:sz w:val="24"/>
          <w:szCs w:val="24"/>
        </w:rPr>
      </w:pPr>
      <w:r>
        <w:rPr>
          <w:rFonts w:ascii="Times New Roman" w:hAnsi="Times New Roman"/>
          <w:sz w:val="24"/>
          <w:szCs w:val="24"/>
        </w:rPr>
        <w:t xml:space="preserve">In matters of housing, recreation, and work assignments custody staff should be aware </w:t>
      </w:r>
      <w:r>
        <w:rPr>
          <w:rFonts w:ascii="Times New Roman" w:hAnsi="Times New Roman"/>
          <w:sz w:val="24"/>
          <w:szCs w:val="24"/>
        </w:rPr>
        <w:lastRenderedPageBreak/>
        <w:t xml:space="preserve">that transgender people are </w:t>
      </w:r>
      <w:r w:rsidRPr="004A73B2">
        <w:rPr>
          <w:rFonts w:ascii="Times New Roman" w:hAnsi="Times New Roman"/>
          <w:sz w:val="24"/>
          <w:szCs w:val="24"/>
        </w:rPr>
        <w:t>common targets for violence</w:t>
      </w:r>
      <w:r>
        <w:rPr>
          <w:rFonts w:ascii="Times New Roman" w:hAnsi="Times New Roman"/>
          <w:sz w:val="24"/>
          <w:szCs w:val="24"/>
        </w:rPr>
        <w:t>.</w:t>
      </w:r>
      <w:r w:rsidRPr="004A73B2">
        <w:rPr>
          <w:rFonts w:ascii="Times New Roman" w:hAnsi="Times New Roman"/>
          <w:sz w:val="24"/>
          <w:szCs w:val="24"/>
        </w:rPr>
        <w:t xml:space="preserve"> </w:t>
      </w:r>
      <w:r>
        <w:rPr>
          <w:rFonts w:ascii="Times New Roman" w:hAnsi="Times New Roman"/>
          <w:sz w:val="24"/>
          <w:szCs w:val="24"/>
        </w:rPr>
        <w:t xml:space="preserve">Accordingly, appropriate </w:t>
      </w:r>
      <w:r w:rsidRPr="004A73B2">
        <w:rPr>
          <w:rFonts w:ascii="Times New Roman" w:hAnsi="Times New Roman"/>
          <w:sz w:val="24"/>
          <w:szCs w:val="24"/>
        </w:rPr>
        <w:t xml:space="preserve">safety measures should be taken, regardless of whether </w:t>
      </w:r>
      <w:r>
        <w:rPr>
          <w:rFonts w:ascii="Times New Roman" w:hAnsi="Times New Roman"/>
          <w:sz w:val="24"/>
          <w:szCs w:val="24"/>
        </w:rPr>
        <w:t xml:space="preserve">the individual is </w:t>
      </w:r>
      <w:r w:rsidRPr="004A73B2">
        <w:rPr>
          <w:rFonts w:ascii="Times New Roman" w:hAnsi="Times New Roman"/>
          <w:sz w:val="24"/>
          <w:szCs w:val="24"/>
        </w:rPr>
        <w:t xml:space="preserve">placed in  male or female </w:t>
      </w:r>
      <w:r>
        <w:rPr>
          <w:rFonts w:ascii="Times New Roman" w:hAnsi="Times New Roman"/>
          <w:sz w:val="24"/>
          <w:szCs w:val="24"/>
        </w:rPr>
        <w:t xml:space="preserve">housing areas. </w:t>
      </w:r>
    </w:p>
    <w:p w:rsidR="001D67AA" w:rsidRDefault="001D67AA" w:rsidP="001D67AA">
      <w:pPr>
        <w:pStyle w:val="BodyText"/>
        <w:ind w:left="1065"/>
        <w:rPr>
          <w:rFonts w:ascii="Times New Roman" w:hAnsi="Times New Roman"/>
          <w:sz w:val="24"/>
          <w:szCs w:val="24"/>
        </w:rPr>
      </w:pPr>
    </w:p>
    <w:p w:rsidR="001D67AA" w:rsidRPr="00753222" w:rsidRDefault="001D67AA" w:rsidP="001D67AA">
      <w:pPr>
        <w:pStyle w:val="BodyText"/>
        <w:rPr>
          <w:rFonts w:ascii="Times New Roman" w:hAnsi="Times New Roman"/>
          <w:sz w:val="24"/>
          <w:szCs w:val="24"/>
          <w:u w:val="single"/>
        </w:rPr>
      </w:pPr>
      <w:r w:rsidRPr="00753222">
        <w:rPr>
          <w:rFonts w:ascii="Times New Roman" w:hAnsi="Times New Roman"/>
          <w:sz w:val="24"/>
          <w:szCs w:val="24"/>
          <w:u w:val="single"/>
        </w:rPr>
        <w:t>Discharge Planning</w:t>
      </w:r>
    </w:p>
    <w:p w:rsidR="001D67AA" w:rsidRDefault="001D67AA" w:rsidP="001D67AA">
      <w:pPr>
        <w:pStyle w:val="BodyText"/>
        <w:ind w:left="1065"/>
        <w:rPr>
          <w:rFonts w:ascii="Times New Roman" w:hAnsi="Times New Roman"/>
          <w:sz w:val="24"/>
          <w:szCs w:val="24"/>
        </w:rPr>
      </w:pPr>
      <w:r>
        <w:rPr>
          <w:rFonts w:ascii="Times New Roman" w:hAnsi="Times New Roman"/>
          <w:sz w:val="24"/>
          <w:szCs w:val="24"/>
        </w:rPr>
        <w:t xml:space="preserve"> </w:t>
      </w:r>
    </w:p>
    <w:p w:rsidR="001D67AA" w:rsidRDefault="001D67AA" w:rsidP="001D67AA">
      <w:pPr>
        <w:pStyle w:val="BodyText"/>
        <w:numPr>
          <w:ilvl w:val="0"/>
          <w:numId w:val="4"/>
        </w:numPr>
        <w:rPr>
          <w:rFonts w:ascii="Times New Roman" w:hAnsi="Times New Roman"/>
          <w:sz w:val="24"/>
          <w:szCs w:val="24"/>
        </w:rPr>
      </w:pPr>
      <w:r w:rsidRPr="00753222">
        <w:rPr>
          <w:rFonts w:ascii="Times New Roman" w:hAnsi="Times New Roman"/>
          <w:sz w:val="24"/>
          <w:szCs w:val="24"/>
        </w:rPr>
        <w:t>Transgender inmates receiving hormone therapy should receive a</w:t>
      </w:r>
      <w:r>
        <w:rPr>
          <w:rFonts w:ascii="Times New Roman" w:hAnsi="Times New Roman"/>
          <w:sz w:val="24"/>
          <w:szCs w:val="24"/>
        </w:rPr>
        <w:t xml:space="preserve"> sufficient supply upon release to last until a community provider assumes care</w:t>
      </w:r>
      <w:r w:rsidRPr="00753222">
        <w:rPr>
          <w:rFonts w:ascii="Times New Roman" w:hAnsi="Times New Roman"/>
          <w:sz w:val="24"/>
          <w:szCs w:val="24"/>
        </w:rPr>
        <w:t xml:space="preserve">.  Referrals should be made to community-based organizations with sensitive and inclusive services for transgender people. </w:t>
      </w:r>
    </w:p>
    <w:p w:rsidR="001D67AA" w:rsidRDefault="001D67AA" w:rsidP="001D67AA">
      <w:pPr>
        <w:pStyle w:val="BodyText"/>
        <w:ind w:left="1065"/>
        <w:rPr>
          <w:rFonts w:ascii="Times New Roman" w:hAnsi="Times New Roman"/>
          <w:sz w:val="24"/>
          <w:szCs w:val="24"/>
        </w:rPr>
      </w:pPr>
    </w:p>
    <w:p w:rsidR="001D67AA" w:rsidRDefault="001D67AA" w:rsidP="001D67AA">
      <w:pPr>
        <w:pStyle w:val="BodyText"/>
        <w:numPr>
          <w:ilvl w:val="0"/>
          <w:numId w:val="4"/>
        </w:numPr>
        <w:rPr>
          <w:rFonts w:ascii="Times New Roman" w:hAnsi="Times New Roman"/>
          <w:sz w:val="24"/>
          <w:szCs w:val="24"/>
        </w:rPr>
      </w:pPr>
      <w:r>
        <w:rPr>
          <w:rFonts w:ascii="Times New Roman" w:hAnsi="Times New Roman"/>
          <w:sz w:val="24"/>
          <w:szCs w:val="24"/>
        </w:rPr>
        <w:t>Correctional</w:t>
      </w:r>
      <w:r w:rsidRPr="00753222">
        <w:rPr>
          <w:rFonts w:ascii="Times New Roman" w:hAnsi="Times New Roman"/>
          <w:sz w:val="24"/>
          <w:szCs w:val="24"/>
        </w:rPr>
        <w:t xml:space="preserve"> policies for management of transgender inmates should be developed and implemented in partnership with local transgender communities, particularly current and former inmates, and transgender service providers, whenever possible.   </w:t>
      </w:r>
    </w:p>
    <w:p w:rsidR="001D67AA" w:rsidRDefault="001D67AA" w:rsidP="001D67AA">
      <w:pPr>
        <w:pStyle w:val="BodyText"/>
        <w:ind w:left="1065"/>
        <w:rPr>
          <w:rFonts w:ascii="Times New Roman" w:hAnsi="Times New Roman"/>
          <w:sz w:val="24"/>
          <w:szCs w:val="24"/>
        </w:rPr>
      </w:pPr>
    </w:p>
    <w:p w:rsidR="001D67AA" w:rsidRDefault="001D67AA" w:rsidP="001D67AA">
      <w:pPr>
        <w:pStyle w:val="BodyText"/>
        <w:ind w:left="1065"/>
        <w:rPr>
          <w:rFonts w:ascii="Times New Roman" w:hAnsi="Times New Roman"/>
          <w:sz w:val="24"/>
          <w:szCs w:val="24"/>
        </w:rPr>
      </w:pPr>
    </w:p>
    <w:p w:rsidR="001D67AA" w:rsidRDefault="001D67AA" w:rsidP="001D67AA">
      <w:pPr>
        <w:pStyle w:val="BodyText"/>
        <w:rPr>
          <w:rFonts w:ascii="Times New Roman" w:hAnsi="Times New Roman"/>
          <w:sz w:val="24"/>
          <w:szCs w:val="24"/>
        </w:rPr>
      </w:pPr>
      <w:r>
        <w:rPr>
          <w:rFonts w:ascii="Times New Roman" w:hAnsi="Times New Roman"/>
          <w:sz w:val="24"/>
          <w:szCs w:val="24"/>
        </w:rPr>
        <w:t>Adopted by the NCCHC Board of Directors October 18, 2009, Orlando, Florida.</w:t>
      </w:r>
    </w:p>
    <w:p w:rsidR="001D67AA" w:rsidRDefault="001D67AA" w:rsidP="001D67AA">
      <w:pPr>
        <w:pStyle w:val="BodyText"/>
        <w:ind w:left="1065"/>
        <w:rPr>
          <w:rFonts w:ascii="Times New Roman" w:hAnsi="Times New Roman"/>
          <w:sz w:val="24"/>
          <w:szCs w:val="24"/>
        </w:rPr>
      </w:pPr>
    </w:p>
    <w:p w:rsidR="001D67AA" w:rsidRDefault="001D67AA" w:rsidP="001D67AA">
      <w:pPr>
        <w:pStyle w:val="BodyText"/>
        <w:rPr>
          <w:rFonts w:ascii="Times New Roman" w:hAnsi="Times New Roman"/>
          <w:sz w:val="24"/>
          <w:szCs w:val="24"/>
        </w:rPr>
      </w:pPr>
    </w:p>
    <w:p w:rsidR="001D67AA" w:rsidRDefault="001D67AA" w:rsidP="001D67AA">
      <w:pPr>
        <w:pStyle w:val="BodyText"/>
        <w:rPr>
          <w:rFonts w:ascii="Times New Roman" w:hAnsi="Times New Roman"/>
          <w:sz w:val="24"/>
          <w:szCs w:val="24"/>
        </w:rPr>
      </w:pPr>
    </w:p>
    <w:p w:rsidR="001D67AA" w:rsidRDefault="001D67AA" w:rsidP="001D67AA">
      <w:pPr>
        <w:pStyle w:val="BodyText"/>
        <w:rPr>
          <w:rFonts w:ascii="Times New Roman" w:hAnsi="Times New Roman"/>
          <w:sz w:val="24"/>
          <w:szCs w:val="24"/>
        </w:rPr>
      </w:pPr>
    </w:p>
    <w:p w:rsidR="001D67AA" w:rsidRDefault="001D67AA" w:rsidP="001D67AA">
      <w:pPr>
        <w:pStyle w:val="BodyText"/>
        <w:ind w:left="1065"/>
        <w:rPr>
          <w:rFonts w:ascii="Times New Roman" w:hAnsi="Times New Roman"/>
          <w:sz w:val="24"/>
          <w:szCs w:val="24"/>
        </w:rPr>
      </w:pPr>
    </w:p>
    <w:sectPr w:rsidR="001D67AA">
      <w:headerReference w:type="default" r:id="rId7"/>
      <w:footerReference w:type="even" r:id="rId8"/>
      <w:footerReference w:type="default" r:id="rId9"/>
      <w:footerReference w:type="first" r:id="rId10"/>
      <w:footnotePr>
        <w:pos w:val="beneathText"/>
      </w:footnotePr>
      <w:pgSz w:w="12240" w:h="15840"/>
      <w:pgMar w:top="1440" w:right="1440" w:bottom="1440" w:left="1440" w:header="576" w:footer="562"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70AE" w:rsidRDefault="00E070AE">
      <w:r>
        <w:separator/>
      </w:r>
    </w:p>
  </w:endnote>
  <w:endnote w:type="continuationSeparator" w:id="1">
    <w:p w:rsidR="00E070AE" w:rsidRDefault="00E070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lbany">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7AA" w:rsidRDefault="001D67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67AA" w:rsidRDefault="001D67A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7AA" w:rsidRDefault="001D67AA">
    <w:pPr>
      <w:pStyle w:val="Footer"/>
      <w:framePr w:wrap="around" w:vAnchor="text" w:hAnchor="margin" w:xAlign="right" w:y="1"/>
      <w:rPr>
        <w:rStyle w:val="PageNumber"/>
      </w:rPr>
    </w:pPr>
  </w:p>
  <w:p w:rsidR="001D67AA" w:rsidRDefault="001D67AA">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7AA" w:rsidRDefault="001D67AA">
    <w:pPr>
      <w:pStyle w:val="Footer"/>
    </w:pPr>
    <w:r>
      <w:tab/>
    </w:r>
    <w:r>
      <w:rPr>
        <w:rStyle w:val="PageNumber"/>
      </w:rPr>
      <w:fldChar w:fldCharType="begin"/>
    </w:r>
    <w:r>
      <w:rPr>
        <w:rStyle w:val="PageNumber"/>
      </w:rPr>
      <w:instrText xml:space="preserve"> PAGE </w:instrText>
    </w:r>
    <w:r>
      <w:rPr>
        <w:rStyle w:val="PageNumber"/>
      </w:rPr>
      <w:fldChar w:fldCharType="separate"/>
    </w:r>
    <w:r w:rsidR="002F3418">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70AE" w:rsidRDefault="00E070AE">
      <w:r>
        <w:separator/>
      </w:r>
    </w:p>
  </w:footnote>
  <w:footnote w:type="continuationSeparator" w:id="1">
    <w:p w:rsidR="00E070AE" w:rsidRDefault="00E070AE">
      <w:r>
        <w:continuationSeparator/>
      </w:r>
    </w:p>
  </w:footnote>
  <w:footnote w:id="2">
    <w:p w:rsidR="001D67AA" w:rsidRDefault="001D67AA">
      <w:pPr>
        <w:pStyle w:val="FootnoteText"/>
      </w:pPr>
      <w:r>
        <w:rPr>
          <w:rStyle w:val="FootnoteReference"/>
        </w:rPr>
        <w:footnoteRef/>
      </w:r>
      <w:r>
        <w:t xml:space="preserve">  </w:t>
      </w:r>
      <w:r w:rsidRPr="000D5C68">
        <w:rPr>
          <w:i/>
        </w:rPr>
        <w:t>The Standards of Care for Gender Identity Disorders</w:t>
      </w:r>
      <w:r w:rsidRPr="000D5C68">
        <w:t xml:space="preserve"> by the World Professional Association for Transgender Health</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7AA" w:rsidRDefault="001D67AA">
    <w:pPr>
      <w:pStyle w:val="Header"/>
      <w:jc w:val="center"/>
      <w:rPr>
        <w:bCs/>
        <w:sz w:val="22"/>
      </w:rPr>
    </w:pPr>
    <w:r>
      <w:rPr>
        <w:rFonts w:ascii="Times New Roman" w:hAnsi="Times New Roman"/>
        <w:bCs/>
        <w:sz w:val="22"/>
        <w:szCs w:val="40"/>
      </w:rPr>
      <w:t xml:space="preserve">Transgender Health Care in Correctional Settings, </w:t>
    </w:r>
    <w:r>
      <w:rPr>
        <w:rStyle w:val="PageNumber"/>
        <w:rFonts w:ascii="Times New Roman" w:hAnsi="Times New Roman"/>
        <w:sz w:val="22"/>
      </w:rPr>
      <w:t xml:space="preserve">Page </w:t>
    </w:r>
    <w:r>
      <w:rPr>
        <w:rStyle w:val="PageNumber"/>
        <w:rFonts w:ascii="Times New Roman" w:hAnsi="Times New Roman"/>
        <w:sz w:val="22"/>
      </w:rPr>
      <w:fldChar w:fldCharType="begin"/>
    </w:r>
    <w:r>
      <w:rPr>
        <w:rStyle w:val="PageNumber"/>
        <w:rFonts w:ascii="Times New Roman" w:hAnsi="Times New Roman"/>
        <w:sz w:val="22"/>
      </w:rPr>
      <w:instrText xml:space="preserve"> PAGE </w:instrText>
    </w:r>
    <w:r>
      <w:rPr>
        <w:rStyle w:val="PageNumber"/>
        <w:rFonts w:ascii="Times New Roman" w:hAnsi="Times New Roman"/>
        <w:sz w:val="22"/>
      </w:rPr>
      <w:fldChar w:fldCharType="separate"/>
    </w:r>
    <w:r w:rsidR="002F3418">
      <w:rPr>
        <w:rStyle w:val="PageNumber"/>
        <w:rFonts w:ascii="Times New Roman" w:hAnsi="Times New Roman"/>
        <w:noProof/>
        <w:sz w:val="22"/>
      </w:rPr>
      <w:t>3</w:t>
    </w:r>
    <w:r>
      <w:rPr>
        <w:rStyle w:val="PageNumber"/>
        <w:rFonts w:ascii="Times New Roman" w:hAnsi="Times New Roman"/>
        <w:sz w:val="22"/>
      </w:rPr>
      <w:fldChar w:fldCharType="end"/>
    </w:r>
    <w:r>
      <w:rPr>
        <w:rStyle w:val="PageNumber"/>
        <w:rFonts w:ascii="Times New Roman" w:hAnsi="Times New Roman"/>
        <w:sz w:val="22"/>
      </w:rPr>
      <w:t xml:space="preserve"> of </w:t>
    </w:r>
    <w:r>
      <w:rPr>
        <w:rStyle w:val="PageNumber"/>
        <w:rFonts w:ascii="Times New Roman" w:hAnsi="Times New Roman"/>
        <w:sz w:val="22"/>
      </w:rPr>
      <w:fldChar w:fldCharType="begin"/>
    </w:r>
    <w:r>
      <w:rPr>
        <w:rStyle w:val="PageNumber"/>
        <w:rFonts w:ascii="Times New Roman" w:hAnsi="Times New Roman"/>
        <w:sz w:val="22"/>
      </w:rPr>
      <w:instrText xml:space="preserve"> NUMPAGES </w:instrText>
    </w:r>
    <w:r>
      <w:rPr>
        <w:rStyle w:val="PageNumber"/>
        <w:rFonts w:ascii="Times New Roman" w:hAnsi="Times New Roman"/>
        <w:sz w:val="22"/>
      </w:rPr>
      <w:fldChar w:fldCharType="separate"/>
    </w:r>
    <w:r w:rsidR="002F3418">
      <w:rPr>
        <w:rStyle w:val="PageNumber"/>
        <w:rFonts w:ascii="Times New Roman" w:hAnsi="Times New Roman"/>
        <w:noProof/>
        <w:sz w:val="22"/>
      </w:rPr>
      <w:t>3</w:t>
    </w:r>
    <w:r>
      <w:rPr>
        <w:rStyle w:val="PageNumber"/>
        <w:rFonts w:ascii="Times New Roman" w:hAnsi="Times New Roman"/>
        <w:sz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F18351F"/>
    <w:multiLevelType w:val="hybridMultilevel"/>
    <w:tmpl w:val="5C00C25A"/>
    <w:lvl w:ilvl="0" w:tplc="0409000F">
      <w:start w:val="1"/>
      <w:numFmt w:val="decimal"/>
      <w:lvlText w:val="%1."/>
      <w:lvlJc w:val="left"/>
      <w:pPr>
        <w:ind w:left="1066" w:hanging="360"/>
      </w:p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2">
    <w:nsid w:val="0F3108B8"/>
    <w:multiLevelType w:val="hybridMultilevel"/>
    <w:tmpl w:val="CD048AD4"/>
    <w:lvl w:ilvl="0" w:tplc="029C8F0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F91526"/>
    <w:multiLevelType w:val="hybridMultilevel"/>
    <w:tmpl w:val="AE906452"/>
    <w:lvl w:ilvl="0" w:tplc="CB2E5E58">
      <w:start w:val="2"/>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06A4451"/>
    <w:multiLevelType w:val="hybridMultilevel"/>
    <w:tmpl w:val="C012F3EC"/>
    <w:lvl w:ilvl="0" w:tplc="DB469892">
      <w:start w:val="12"/>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A34455"/>
    <w:multiLevelType w:val="hybridMultilevel"/>
    <w:tmpl w:val="CD048AD4"/>
    <w:lvl w:ilvl="0" w:tplc="029C8F08">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805F0"/>
    <w:rsid w:val="001D67AA"/>
    <w:rsid w:val="002F3418"/>
    <w:rsid w:val="00E070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rFonts w:ascii="Verdana" w:eastAsia="Verdana" w:hAnsi="Verdana"/>
      <w:lang/>
    </w:rPr>
  </w:style>
  <w:style w:type="paragraph" w:styleId="Heading1">
    <w:name w:val="heading 1"/>
    <w:basedOn w:val="Heading"/>
    <w:next w:val="BodyText"/>
    <w:qFormat/>
    <w:pPr>
      <w:numPr>
        <w:numId w:val="1"/>
      </w:numPr>
      <w:outlineLvl w:val="0"/>
    </w:pPr>
    <w:rPr>
      <w:rFonts w:ascii="Thorndale" w:hAnsi="Thorndale"/>
      <w:b/>
      <w:bCs/>
      <w:sz w:val="32"/>
      <w:szCs w:val="32"/>
    </w:rPr>
  </w:style>
  <w:style w:type="paragraph" w:styleId="Heading2">
    <w:name w:val="heading 2"/>
    <w:basedOn w:val="Heading"/>
    <w:next w:val="BodyText"/>
    <w:qFormat/>
    <w:pPr>
      <w:numPr>
        <w:ilvl w:val="1"/>
        <w:numId w:val="1"/>
      </w:numPr>
      <w:outlineLvl w:val="1"/>
    </w:pPr>
    <w:rPr>
      <w:b/>
      <w:bCs/>
      <w:i/>
      <w:iCs/>
    </w:rPr>
  </w:style>
  <w:style w:type="paragraph" w:styleId="Heading3">
    <w:name w:val="heading 3"/>
    <w:basedOn w:val="Heading"/>
    <w:next w:val="BodyText"/>
    <w:qFormat/>
    <w:pPr>
      <w:numPr>
        <w:ilvl w:val="2"/>
        <w:numId w:val="1"/>
      </w:numPr>
      <w:outlineLvl w:val="2"/>
    </w:pPr>
    <w:rPr>
      <w:b/>
      <w:bCs/>
      <w:sz w:val="26"/>
      <w:szCs w:val="26"/>
    </w:rPr>
  </w:style>
  <w:style w:type="paragraph" w:styleId="Heading4">
    <w:name w:val="heading 4"/>
    <w:basedOn w:val="Heading"/>
    <w:next w:val="BodyText"/>
    <w:qFormat/>
    <w:pPr>
      <w:numPr>
        <w:ilvl w:val="3"/>
        <w:numId w:val="1"/>
      </w:numPr>
      <w:outlineLvl w:val="3"/>
    </w:pPr>
    <w:rPr>
      <w:b/>
      <w:bCs/>
      <w:i/>
      <w:iCs/>
      <w:sz w:val="24"/>
      <w:szCs w:val="24"/>
    </w:rPr>
  </w:style>
  <w:style w:type="paragraph" w:styleId="Heading5">
    <w:name w:val="heading 5"/>
    <w:basedOn w:val="Heading"/>
    <w:next w:val="BodyText"/>
    <w:qFormat/>
    <w:pPr>
      <w:numPr>
        <w:ilvl w:val="4"/>
        <w:numId w:val="1"/>
      </w:numPr>
      <w:outlineLvl w:val="4"/>
    </w:pPr>
    <w:rPr>
      <w:b/>
      <w:bCs/>
      <w:sz w:val="22"/>
      <w:szCs w:val="22"/>
    </w:rPr>
  </w:style>
  <w:style w:type="paragraph" w:styleId="Heading6">
    <w:name w:val="heading 6"/>
    <w:basedOn w:val="Heading"/>
    <w:next w:val="BodyText"/>
    <w:qFormat/>
    <w:pPr>
      <w:numPr>
        <w:ilvl w:val="5"/>
        <w:numId w:val="1"/>
      </w:numPr>
      <w:outlineLvl w:val="5"/>
    </w:pPr>
    <w:rPr>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EndnoteCharacters">
    <w:name w:val="Endnote Characters"/>
  </w:style>
  <w:style w:type="character" w:customStyle="1" w:styleId="FootnoteCharacters">
    <w:name w:val="Footnote Characters"/>
  </w:style>
  <w:style w:type="character" w:styleId="Hyperlink">
    <w:name w:val="Hyperlink"/>
    <w:rPr>
      <w:color w:val="000080"/>
      <w:u w:val="single"/>
    </w:rPr>
  </w:style>
  <w:style w:type="paragraph" w:customStyle="1" w:styleId="Heading">
    <w:name w:val="Heading"/>
    <w:basedOn w:val="Normal"/>
    <w:next w:val="BodyText"/>
    <w:pPr>
      <w:keepNext/>
      <w:spacing w:before="240" w:after="283"/>
    </w:pPr>
    <w:rPr>
      <w:rFonts w:ascii="Albany" w:eastAsia="HG Mincho Light J" w:hAnsi="Albany" w:cs="Arial Unicode MS"/>
      <w:sz w:val="28"/>
      <w:szCs w:val="28"/>
    </w:rPr>
  </w:style>
  <w:style w:type="paragraph" w:styleId="BodyText">
    <w:name w:val="Body Text"/>
    <w:basedOn w:val="Normal"/>
    <w:link w:val="BodyTextCha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customStyle="1" w:styleId="HorizontalLine">
    <w:name w:val="Horizontal Line"/>
    <w:basedOn w:val="Normal"/>
    <w:next w:val="BodyText"/>
    <w:pPr>
      <w:pBdr>
        <w:bottom w:val="double" w:sz="1" w:space="0" w:color="808080"/>
      </w:pBdr>
      <w:spacing w:after="283"/>
    </w:pPr>
    <w:rPr>
      <w:sz w:val="12"/>
    </w:rPr>
  </w:style>
  <w:style w:type="paragraph" w:styleId="EnvelopeReturn">
    <w:name w:val="envelope return"/>
    <w:basedOn w:val="Normal"/>
    <w:rPr>
      <w:i/>
    </w:rPr>
  </w:style>
  <w:style w:type="paragraph" w:customStyle="1" w:styleId="TableContents">
    <w:name w:val="Table Contents"/>
    <w:basedOn w:val="BodyText"/>
  </w:style>
  <w:style w:type="paragraph" w:styleId="Footer">
    <w:name w:val="footer"/>
    <w:basedOn w:val="Normal"/>
    <w:pPr>
      <w:suppressLineNumbers/>
      <w:tabs>
        <w:tab w:val="center" w:pos="4818"/>
        <w:tab w:val="right" w:pos="9637"/>
      </w:tabs>
    </w:pPr>
  </w:style>
  <w:style w:type="paragraph" w:styleId="Header">
    <w:name w:val="header"/>
    <w:basedOn w:val="Normal"/>
    <w:pPr>
      <w:suppressLineNumbers/>
      <w:tabs>
        <w:tab w:val="center" w:pos="4818"/>
        <w:tab w:val="right" w:pos="9637"/>
      </w:tabs>
    </w:pPr>
  </w:style>
  <w:style w:type="paragraph" w:customStyle="1" w:styleId="Quotations">
    <w:name w:val="Quotations"/>
    <w:basedOn w:val="Normal"/>
    <w:pPr>
      <w:pBdr>
        <w:top w:val="single" w:sz="1" w:space="7" w:color="C0C0C0"/>
        <w:left w:val="single" w:sz="1" w:space="7" w:color="C0C0C0"/>
        <w:bottom w:val="single" w:sz="1" w:space="7" w:color="C0C0C0"/>
        <w:right w:val="single" w:sz="1" w:space="7" w:color="C0C0C0"/>
      </w:pBdr>
      <w:spacing w:after="283"/>
      <w:ind w:left="567" w:right="567"/>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odyText2">
    <w:name w:val="Body Text 2"/>
    <w:basedOn w:val="Normal"/>
    <w:pPr>
      <w:widowControl/>
      <w:suppressAutoHyphens w:val="0"/>
      <w:autoSpaceDE w:val="0"/>
      <w:autoSpaceDN w:val="0"/>
      <w:adjustRightInd w:val="0"/>
      <w:spacing w:line="240" w:lineRule="atLeast"/>
    </w:pPr>
    <w:rPr>
      <w:rFonts w:ascii="Times New Roman" w:eastAsia="Times New Roman" w:hAnsi="Times New Roman"/>
      <w:color w:val="000000"/>
      <w:sz w:val="22"/>
      <w:lang w:eastAsia="en-US"/>
    </w:rPr>
  </w:style>
  <w:style w:type="paragraph" w:styleId="ColorfulList-Accent1">
    <w:name w:val="Colorful List Accent 1"/>
    <w:basedOn w:val="Normal"/>
    <w:uiPriority w:val="34"/>
    <w:qFormat/>
    <w:rsid w:val="004A73B2"/>
    <w:pPr>
      <w:ind w:left="720"/>
    </w:pPr>
  </w:style>
  <w:style w:type="character" w:customStyle="1" w:styleId="BodyTextChar">
    <w:name w:val="Body Text Char"/>
    <w:basedOn w:val="DefaultParagraphFont"/>
    <w:link w:val="BodyText"/>
    <w:rsid w:val="00753222"/>
    <w:rPr>
      <w:rFonts w:ascii="Verdana" w:eastAsia="Verdana" w:hAnsi="Verdana"/>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899</Words>
  <Characters>4805</Characters>
  <Application>Microsoft Office Word</Application>
  <DocSecurity>0</DocSecurity>
  <Lines>75</Lines>
  <Paragraphs>12</Paragraphs>
  <ScaleCrop>false</ScaleCrop>
  <HeadingPairs>
    <vt:vector size="2" baseType="variant">
      <vt:variant>
        <vt:lpstr>Title</vt:lpstr>
      </vt:variant>
      <vt:variant>
        <vt:i4>1</vt:i4>
      </vt:variant>
    </vt:vector>
  </HeadingPairs>
  <TitlesOfParts>
    <vt:vector size="1" baseType="lpstr">
      <vt:lpstr>Transgender Healthcare in Correctional Settings </vt:lpstr>
    </vt:vector>
  </TitlesOfParts>
  <Company>Human Rights Watch</Company>
  <LinksUpToDate>false</LinksUpToDate>
  <CharactersWithSpaces>5692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Transgender Healthcare in Correctional Settings</dc:title>
  <dc:creator>Human Rights Watch</dc:creator>
  <cp:lastModifiedBy>Ben Schock</cp:lastModifiedBy>
  <cp:revision>2</cp:revision>
  <cp:lastPrinted>2009-09-30T16:24:00Z</cp:lastPrinted>
  <dcterms:created xsi:type="dcterms:W3CDTF">2011-07-08T16:15:00Z</dcterms:created>
  <dcterms:modified xsi:type="dcterms:W3CDTF">2011-07-08T16:15:00Z</dcterms:modified>
</cp:coreProperties>
</file>